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Quattrocento Sans" w:cs="Quattrocento Sans" w:eastAsia="Quattrocento Sans" w:hAnsi="Quattrocento Sans"/>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Quattrocento Sans" w:cs="Quattrocento Sans" w:eastAsia="Quattrocento Sans" w:hAnsi="Quattrocento Sans"/>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Quattrocento Sans" w:cs="Quattrocento Sans" w:eastAsia="Quattrocento Sans" w:hAnsi="Quattrocento Sans"/>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Quattrocento Sans" w:cs="Quattrocento Sans" w:eastAsia="Quattrocento Sans" w:hAnsi="Quattrocento Sans"/>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Quattrocento Sans" w:cs="Quattrocento Sans" w:eastAsia="Quattrocento Sans" w:hAnsi="Quattrocento Sans"/>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Quattrocento Sans" w:cs="Quattrocento Sans" w:eastAsia="Quattrocento Sans" w:hAnsi="Quattrocento Sans"/>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https://gazonokosilki-remont.ru/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